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rPr>
      </w:pPr>
      <w:r>
        <w:rPr>
          <w:rFonts w:hint="eastAsia" w:ascii="黑体" w:hAnsi="黑体" w:eastAsia="黑体"/>
          <w:b/>
          <w:sz w:val="32"/>
        </w:rPr>
        <w:t>安陆市2021年教师教育教学信息化交流展示及教育技术</w:t>
      </w:r>
    </w:p>
    <w:p>
      <w:pPr>
        <w:jc w:val="center"/>
        <w:rPr>
          <w:rFonts w:ascii="黑体" w:hAnsi="黑体" w:eastAsia="黑体"/>
          <w:b/>
          <w:sz w:val="32"/>
        </w:rPr>
      </w:pPr>
      <w:r>
        <w:rPr>
          <w:rFonts w:hint="eastAsia" w:ascii="黑体" w:hAnsi="黑体" w:eastAsia="黑体"/>
          <w:b/>
          <w:sz w:val="32"/>
        </w:rPr>
        <w:t>理论与实践论文活动方案</w:t>
      </w:r>
    </w:p>
    <w:p>
      <w:pPr>
        <w:rPr>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为全面提高全市教师教育教学信息化应用水平和信息素养，推动教育信息化在教育教学中的广泛应用，决定举办安陆市2021年教师教育教学信息化交流展示活动，特制定如下方案：</w:t>
      </w:r>
    </w:p>
    <w:p>
      <w:pPr>
        <w:spacing w:line="600" w:lineRule="exact"/>
        <w:ind w:firstLine="562" w:firstLineChars="200"/>
        <w:rPr>
          <w:rFonts w:ascii="仿宋" w:hAnsi="仿宋" w:eastAsia="仿宋"/>
          <w:b/>
          <w:bCs/>
          <w:sz w:val="28"/>
          <w:szCs w:val="28"/>
        </w:rPr>
      </w:pPr>
      <w:r>
        <w:rPr>
          <w:rFonts w:hint="eastAsia" w:ascii="仿宋" w:hAnsi="仿宋" w:eastAsia="仿宋"/>
          <w:b/>
          <w:bCs/>
          <w:sz w:val="28"/>
          <w:szCs w:val="28"/>
        </w:rPr>
        <w:t>一、指导思想</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努力践行教育部教育信息化2.0行动计划相关文件精神，深入研究、积极探索信息技术与教育教学整合的应用实践；加强教师教育教学创新意识，提升教育教学质量；充分展示优秀教师风采，发挥典型辐射作用。</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二、组织机构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成立安陆市2021年教师</w:t>
      </w:r>
      <w:r>
        <w:rPr>
          <w:rFonts w:ascii="仿宋" w:hAnsi="仿宋" w:eastAsia="仿宋"/>
          <w:sz w:val="28"/>
          <w:szCs w:val="28"/>
        </w:rPr>
        <w:t>教育</w:t>
      </w:r>
      <w:r>
        <w:rPr>
          <w:rFonts w:hint="eastAsia" w:ascii="仿宋" w:hAnsi="仿宋" w:eastAsia="仿宋"/>
          <w:sz w:val="28"/>
          <w:szCs w:val="28"/>
        </w:rPr>
        <w:t>教学</w:t>
      </w:r>
      <w:r>
        <w:rPr>
          <w:rFonts w:ascii="仿宋" w:hAnsi="仿宋" w:eastAsia="仿宋"/>
          <w:sz w:val="28"/>
          <w:szCs w:val="28"/>
        </w:rPr>
        <w:t>信息化交流</w:t>
      </w:r>
      <w:r>
        <w:rPr>
          <w:rFonts w:hint="eastAsia" w:ascii="仿宋" w:hAnsi="仿宋" w:eastAsia="仿宋"/>
          <w:sz w:val="28"/>
          <w:szCs w:val="28"/>
        </w:rPr>
        <w:t>展示及教育技术理论与实践论文</w:t>
      </w:r>
      <w:r>
        <w:rPr>
          <w:rFonts w:ascii="仿宋" w:hAnsi="仿宋" w:eastAsia="仿宋"/>
          <w:sz w:val="28"/>
          <w:szCs w:val="28"/>
        </w:rPr>
        <w:t>活动</w:t>
      </w:r>
      <w:r>
        <w:rPr>
          <w:rFonts w:hint="eastAsia" w:ascii="仿宋" w:hAnsi="仿宋" w:eastAsia="仿宋"/>
          <w:sz w:val="28"/>
          <w:szCs w:val="28"/>
        </w:rPr>
        <w:t>组委会，承担活动具体组织、评比、展示工作。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组  长：沈享平</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副组长：潘宗斌  张俊云</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组  员：施世海  王俊峰  周晓飞  朱朝斌  董  锐  刘春红</w:t>
      </w:r>
    </w:p>
    <w:p>
      <w:pPr>
        <w:spacing w:line="600" w:lineRule="exact"/>
        <w:rPr>
          <w:rFonts w:ascii="仿宋" w:hAnsi="仿宋" w:eastAsia="仿宋"/>
          <w:sz w:val="28"/>
          <w:szCs w:val="28"/>
        </w:rPr>
      </w:pPr>
      <w:r>
        <w:rPr>
          <w:rFonts w:hint="eastAsia" w:ascii="仿宋" w:hAnsi="仿宋" w:eastAsia="仿宋"/>
          <w:sz w:val="28"/>
          <w:szCs w:val="28"/>
        </w:rPr>
        <w:t>蔡  黎  蒋  梁  蒋  冰   各乡镇辅导员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评  委：各活动项目在全市范围内聘请3名专家评委担任</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三、参加对象</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全市中小学、中职、幼教、特教系统的教师、教育工作者均可参加。</w:t>
      </w:r>
    </w:p>
    <w:p>
      <w:pPr>
        <w:spacing w:line="600" w:lineRule="exact"/>
        <w:rPr>
          <w:rFonts w:ascii="仿宋" w:hAnsi="仿宋" w:eastAsia="仿宋"/>
          <w:b/>
          <w:sz w:val="28"/>
          <w:szCs w:val="28"/>
        </w:rPr>
      </w:pPr>
      <w:r>
        <w:rPr>
          <w:rFonts w:hint="eastAsia" w:ascii="仿宋" w:hAnsi="仿宋" w:eastAsia="仿宋"/>
          <w:b/>
          <w:sz w:val="28"/>
          <w:szCs w:val="28"/>
        </w:rPr>
        <w:t xml:space="preserve">    四、活动项目</w:t>
      </w:r>
    </w:p>
    <w:p>
      <w:pPr>
        <w:spacing w:line="600" w:lineRule="exact"/>
        <w:rPr>
          <w:rFonts w:ascii="仿宋" w:hAnsi="仿宋" w:eastAsia="仿宋"/>
          <w:sz w:val="28"/>
          <w:szCs w:val="28"/>
        </w:rPr>
      </w:pPr>
      <w:r>
        <w:rPr>
          <w:rFonts w:hint="eastAsia" w:ascii="仿宋" w:hAnsi="仿宋" w:eastAsia="仿宋"/>
          <w:sz w:val="28"/>
          <w:szCs w:val="28"/>
        </w:rPr>
        <w:t xml:space="preserve">    根据学段和学校类型分组，设置项目如下（各项目说明及要求详见附件）：</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1、幼教组：</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信息化交流展示活动：课件、微课、融合创新应用教学案例</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（2）论文活动：教育技术创新教学论文、教学设计、教育叙事。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2、基教组：</w:t>
      </w:r>
      <w:r>
        <w:rPr>
          <w:rFonts w:ascii="仿宋" w:hAnsi="仿宋" w:eastAsia="仿宋"/>
          <w:sz w:val="28"/>
          <w:szCs w:val="28"/>
        </w:rPr>
        <w:t xml:space="preserve"> </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信息化交流展示活动：课件、微课、融合创新应用教学案例、教师网络空间应用案例</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（2）论文活动：教育技术创新教学论文、教学设计、教育叙事。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3、特教组：</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信息化交流展示活动：课件、微课、融合创新应用教学案例</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（2）论文活动：教育技术创新教学论文、教学设计、教育叙事。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4、中职组：</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信息化交流展示活动：课件、微课、信息化教学课程案例、职业岗位核心能力线上精品课资源</w:t>
      </w:r>
    </w:p>
    <w:p>
      <w:pPr>
        <w:spacing w:line="600" w:lineRule="exact"/>
        <w:ind w:firstLine="280" w:firstLineChars="100"/>
        <w:rPr>
          <w:rFonts w:ascii="仿宋" w:hAnsi="仿宋" w:eastAsia="仿宋"/>
          <w:sz w:val="28"/>
          <w:szCs w:val="28"/>
        </w:rPr>
      </w:pPr>
      <w:r>
        <w:rPr>
          <w:rFonts w:hint="eastAsia" w:ascii="仿宋" w:hAnsi="仿宋" w:eastAsia="仿宋"/>
          <w:sz w:val="28"/>
          <w:szCs w:val="28"/>
        </w:rPr>
        <w:t>（2）论文活动：教育技术创新教学论文、教学设计、教育叙事。</w:t>
      </w:r>
    </w:p>
    <w:p>
      <w:pPr>
        <w:spacing w:line="600" w:lineRule="exact"/>
        <w:rPr>
          <w:rFonts w:ascii="仿宋" w:hAnsi="仿宋" w:eastAsia="仿宋"/>
          <w:b/>
          <w:sz w:val="28"/>
          <w:szCs w:val="28"/>
        </w:rPr>
      </w:pPr>
      <w:r>
        <w:rPr>
          <w:rFonts w:hint="eastAsia" w:ascii="仿宋" w:hAnsi="仿宋" w:eastAsia="仿宋"/>
          <w:b/>
          <w:sz w:val="28"/>
          <w:szCs w:val="28"/>
        </w:rPr>
        <w:t xml:space="preserve">    五、活动时间</w:t>
      </w:r>
    </w:p>
    <w:p>
      <w:pPr>
        <w:spacing w:line="600" w:lineRule="exact"/>
        <w:rPr>
          <w:rFonts w:ascii="仿宋" w:hAnsi="仿宋" w:eastAsia="仿宋"/>
          <w:sz w:val="28"/>
          <w:szCs w:val="28"/>
        </w:rPr>
      </w:pPr>
      <w:r>
        <w:rPr>
          <w:rFonts w:hint="eastAsia" w:ascii="仿宋" w:hAnsi="仿宋" w:eastAsia="仿宋"/>
          <w:sz w:val="28"/>
          <w:szCs w:val="28"/>
        </w:rPr>
        <w:t xml:space="preserve">    2021年4月—7月</w:t>
      </w:r>
    </w:p>
    <w:p>
      <w:pPr>
        <w:spacing w:line="600" w:lineRule="exact"/>
        <w:ind w:firstLine="555"/>
        <w:rPr>
          <w:rFonts w:ascii="仿宋" w:hAnsi="仿宋" w:eastAsia="仿宋"/>
          <w:b/>
          <w:sz w:val="28"/>
          <w:szCs w:val="28"/>
        </w:rPr>
      </w:pPr>
      <w:r>
        <w:rPr>
          <w:rFonts w:hint="eastAsia" w:ascii="仿宋" w:hAnsi="仿宋" w:eastAsia="仿宋"/>
          <w:b/>
          <w:sz w:val="28"/>
          <w:szCs w:val="28"/>
        </w:rPr>
        <w:t>六、活动安排</w:t>
      </w:r>
    </w:p>
    <w:p>
      <w:pPr>
        <w:spacing w:line="600" w:lineRule="exact"/>
        <w:ind w:firstLine="555"/>
        <w:rPr>
          <w:rFonts w:ascii="仿宋" w:hAnsi="仿宋" w:eastAsia="仿宋"/>
          <w:sz w:val="28"/>
          <w:szCs w:val="28"/>
        </w:rPr>
      </w:pPr>
      <w:r>
        <w:rPr>
          <w:rFonts w:hint="eastAsia" w:ascii="仿宋" w:hAnsi="仿宋" w:eastAsia="仿宋"/>
          <w:sz w:val="28"/>
          <w:szCs w:val="28"/>
        </w:rPr>
        <w:t>1、自主制作（2021年4月中旬—5月9日）</w:t>
      </w:r>
    </w:p>
    <w:p>
      <w:pPr>
        <w:spacing w:line="600" w:lineRule="exact"/>
        <w:ind w:firstLine="555"/>
        <w:rPr>
          <w:rFonts w:ascii="仿宋" w:hAnsi="仿宋" w:eastAsia="仿宋"/>
          <w:sz w:val="28"/>
          <w:szCs w:val="28"/>
        </w:rPr>
      </w:pPr>
      <w:r>
        <w:rPr>
          <w:rFonts w:hint="eastAsia" w:ascii="仿宋" w:hAnsi="仿宋" w:eastAsia="仿宋"/>
          <w:sz w:val="28"/>
          <w:szCs w:val="28"/>
        </w:rPr>
        <w:t>全市各学段各学校教师根据活动项目说明及要求，深入钻研教材，认真制作课件、微课、撰写教育技术相关论文、教学设计、教学叙事和各类应用案例。</w:t>
      </w:r>
    </w:p>
    <w:p>
      <w:pPr>
        <w:spacing w:line="600" w:lineRule="exact"/>
        <w:ind w:firstLine="555"/>
        <w:rPr>
          <w:rFonts w:ascii="仿宋" w:hAnsi="仿宋" w:eastAsia="仿宋"/>
          <w:sz w:val="28"/>
          <w:szCs w:val="28"/>
        </w:rPr>
      </w:pPr>
      <w:r>
        <w:rPr>
          <w:rFonts w:hint="eastAsia" w:ascii="仿宋" w:hAnsi="仿宋" w:eastAsia="仿宋"/>
          <w:sz w:val="28"/>
          <w:szCs w:val="28"/>
        </w:rPr>
        <w:t>2、上传作品（2021年5月10日—5月31日）</w:t>
      </w:r>
    </w:p>
    <w:p>
      <w:pPr>
        <w:spacing w:line="600" w:lineRule="exact"/>
        <w:ind w:firstLine="555"/>
        <w:rPr>
          <w:rFonts w:ascii="仿宋" w:hAnsi="仿宋" w:eastAsia="仿宋"/>
          <w:sz w:val="28"/>
          <w:szCs w:val="28"/>
        </w:rPr>
      </w:pPr>
      <w:r>
        <w:rPr>
          <w:rFonts w:hint="eastAsia" w:ascii="仿宋" w:hAnsi="仿宋" w:eastAsia="仿宋"/>
          <w:sz w:val="28"/>
          <w:szCs w:val="28"/>
        </w:rPr>
        <w:t>参赛教师打开活动网页，登录个人账号和密码，上传相关作品。</w:t>
      </w:r>
    </w:p>
    <w:p>
      <w:pPr>
        <w:spacing w:line="600" w:lineRule="exact"/>
        <w:ind w:firstLine="555"/>
        <w:rPr>
          <w:rFonts w:ascii="仿宋" w:hAnsi="仿宋" w:eastAsia="仿宋"/>
          <w:sz w:val="28"/>
          <w:szCs w:val="28"/>
        </w:rPr>
      </w:pPr>
      <w:r>
        <w:rPr>
          <w:rFonts w:hint="eastAsia" w:ascii="仿宋" w:hAnsi="仿宋" w:eastAsia="仿宋"/>
          <w:sz w:val="28"/>
          <w:szCs w:val="28"/>
        </w:rPr>
        <w:t>3、乡镇推评（2021年6月1日—6月6日）</w:t>
      </w:r>
    </w:p>
    <w:p>
      <w:pPr>
        <w:spacing w:line="600" w:lineRule="exact"/>
        <w:ind w:firstLine="555"/>
        <w:rPr>
          <w:rFonts w:ascii="仿宋" w:hAnsi="仿宋" w:eastAsia="仿宋"/>
          <w:sz w:val="28"/>
          <w:szCs w:val="28"/>
        </w:rPr>
      </w:pPr>
      <w:r>
        <w:rPr>
          <w:rFonts w:hint="eastAsia" w:ascii="仿宋" w:hAnsi="仿宋" w:eastAsia="仿宋"/>
          <w:sz w:val="28"/>
          <w:szCs w:val="28"/>
        </w:rPr>
        <w:t>全市各乡镇、市直学校进行本地本校教师参赛作品的初评，并按照参赛作品数量的一定比例推荐参加全市教师教育教学信息化交流展示活动。</w:t>
      </w:r>
    </w:p>
    <w:p>
      <w:pPr>
        <w:spacing w:line="600" w:lineRule="exact"/>
        <w:ind w:firstLine="555"/>
        <w:rPr>
          <w:rFonts w:ascii="仿宋" w:hAnsi="仿宋" w:eastAsia="仿宋"/>
          <w:sz w:val="28"/>
          <w:szCs w:val="28"/>
        </w:rPr>
      </w:pPr>
      <w:r>
        <w:rPr>
          <w:rFonts w:hint="eastAsia" w:ascii="仿宋" w:hAnsi="仿宋" w:eastAsia="仿宋"/>
          <w:sz w:val="28"/>
          <w:szCs w:val="28"/>
        </w:rPr>
        <w:t>4、全市评比（2021年6月7日—6月20日）</w:t>
      </w:r>
    </w:p>
    <w:p>
      <w:pPr>
        <w:spacing w:line="600" w:lineRule="exact"/>
        <w:ind w:firstLine="555"/>
        <w:rPr>
          <w:rFonts w:ascii="仿宋" w:hAnsi="仿宋" w:eastAsia="仿宋"/>
          <w:sz w:val="28"/>
          <w:szCs w:val="28"/>
        </w:rPr>
      </w:pPr>
      <w:r>
        <w:rPr>
          <w:rFonts w:hint="eastAsia" w:ascii="仿宋" w:hAnsi="仿宋" w:eastAsia="仿宋"/>
          <w:sz w:val="28"/>
          <w:szCs w:val="28"/>
        </w:rPr>
        <w:t>安陆市教育技术装备站在全市范围聘请专家评委对各乡镇推荐的教师作品进行评比，并按照相关比例评选奖项。</w:t>
      </w:r>
    </w:p>
    <w:p>
      <w:pPr>
        <w:spacing w:line="600" w:lineRule="exact"/>
        <w:ind w:firstLine="555"/>
        <w:rPr>
          <w:rFonts w:ascii="仿宋" w:hAnsi="仿宋" w:eastAsia="仿宋"/>
          <w:sz w:val="28"/>
          <w:szCs w:val="28"/>
        </w:rPr>
      </w:pPr>
      <w:r>
        <w:rPr>
          <w:rFonts w:hint="eastAsia" w:ascii="仿宋" w:hAnsi="仿宋" w:eastAsia="仿宋"/>
          <w:sz w:val="28"/>
          <w:szCs w:val="28"/>
        </w:rPr>
        <w:t>5、选优推荐（2021年6月下旬）。</w:t>
      </w:r>
    </w:p>
    <w:p>
      <w:pPr>
        <w:spacing w:line="600" w:lineRule="exact"/>
        <w:ind w:firstLine="555"/>
        <w:rPr>
          <w:rFonts w:ascii="仿宋" w:hAnsi="仿宋" w:eastAsia="仿宋"/>
          <w:sz w:val="28"/>
          <w:szCs w:val="28"/>
        </w:rPr>
      </w:pPr>
      <w:r>
        <w:rPr>
          <w:rFonts w:hint="eastAsia" w:ascii="仿宋" w:hAnsi="仿宋" w:eastAsia="仿宋"/>
          <w:sz w:val="28"/>
          <w:szCs w:val="28"/>
        </w:rPr>
        <w:t>安陆市教育技术装备站将参加我市教师教育教学信息化交流展示活动的部分获奖作品推荐到湖北省电教馆，参加省级组织的教师教育教学信息化交流展示活动及论文评选活动。</w:t>
      </w:r>
    </w:p>
    <w:p>
      <w:pPr>
        <w:spacing w:line="600" w:lineRule="exact"/>
        <w:rPr>
          <w:rFonts w:ascii="仿宋" w:hAnsi="仿宋" w:eastAsia="仿宋"/>
          <w:b/>
          <w:sz w:val="28"/>
          <w:szCs w:val="28"/>
        </w:rPr>
      </w:pPr>
      <w:r>
        <w:rPr>
          <w:rFonts w:hint="eastAsia" w:ascii="仿宋" w:hAnsi="仿宋" w:eastAsia="仿宋"/>
          <w:b/>
          <w:sz w:val="28"/>
          <w:szCs w:val="28"/>
        </w:rPr>
        <w:t xml:space="preserve">    七、奖项设置</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个人奖。各活动项目将按参赛作品数量比例分设一等奖、二等奖和三等奖。每件作品作者不得超过两人，如一件作品作者有两人，则以一件作品计算，如获奖两人姓名同时列名在获奖证书中。并推荐部分获奖作品参加湖北省教师教育教学信息化交流展示活动及论文评选活动。（注：为鼓励全市教师积极参与竞赛活动，安陆市级竞赛活动全部评奖；湖北省级竞赛活动评奖率为30%，请参赛教师努力提高作品质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2、集体奖。设“最佳组织奖”，“最佳组织奖”以各乡镇、市直学校为单位评选，主要根据各乡镇、市直学校组织工作情况和作品获奖情况评定。</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八、活动要求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所有参赛教师必须在指定活动网站参赛，输入个人账号、密码登录并上传参赛作品，作品一经上传提交后将不得再次修改。全市各乡镇、市直学校管理员在参赛网页登录管理员账号，即可实现对本地本校教师的上传作品进行通过和上报提交，完成乡镇推评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2、有政治原则性错误和学科概念性错误的作品，取消参加资格。</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3、杜绝弄虚作假行为。一经发现，取消参赛资格。</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4、资料的引用应注明出处。如引起知识产权异议和纠纷，其责任由作品作者承担。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5、每件作品作者不超过2人，不接受以单位名义集体创作的作品。</w:t>
      </w:r>
    </w:p>
    <w:p>
      <w:pPr>
        <w:spacing w:line="600" w:lineRule="exact"/>
        <w:ind w:firstLine="560" w:firstLineChars="200"/>
        <w:rPr>
          <w:rFonts w:ascii="仿宋" w:hAnsi="仿宋" w:eastAsia="仿宋"/>
          <w:sz w:val="28"/>
          <w:szCs w:val="28"/>
        </w:rPr>
      </w:pPr>
    </w:p>
    <w:p>
      <w:pPr>
        <w:spacing w:line="600" w:lineRule="exact"/>
        <w:ind w:firstLine="4060" w:firstLineChars="1450"/>
        <w:rPr>
          <w:rFonts w:ascii="仿宋" w:hAnsi="仿宋" w:eastAsia="仿宋"/>
          <w:sz w:val="28"/>
          <w:szCs w:val="28"/>
        </w:rPr>
      </w:pPr>
      <w:r>
        <w:rPr>
          <w:rFonts w:hint="eastAsia" w:ascii="仿宋" w:hAnsi="仿宋" w:eastAsia="仿宋"/>
          <w:sz w:val="28"/>
          <w:szCs w:val="28"/>
        </w:rPr>
        <w:t>安陆市教育技术装备站</w:t>
      </w:r>
    </w:p>
    <w:p>
      <w:pPr>
        <w:spacing w:line="600" w:lineRule="exact"/>
        <w:ind w:firstLine="4340" w:firstLineChars="1550"/>
        <w:rPr>
          <w:rFonts w:ascii="仿宋" w:hAnsi="仿宋" w:eastAsia="仿宋"/>
          <w:sz w:val="28"/>
          <w:szCs w:val="28"/>
        </w:rPr>
      </w:pPr>
      <w:r>
        <w:rPr>
          <w:rFonts w:hint="eastAsia" w:ascii="仿宋" w:hAnsi="仿宋" w:eastAsia="仿宋"/>
          <w:sz w:val="28"/>
          <w:szCs w:val="28"/>
        </w:rPr>
        <w:t>2021年4月29日</w:t>
      </w: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tabs>
          <w:tab w:val="left" w:pos="1276"/>
          <w:tab w:val="left" w:pos="1560"/>
          <w:tab w:val="left" w:pos="1843"/>
          <w:tab w:val="left" w:pos="1985"/>
        </w:tabs>
        <w:spacing w:line="580" w:lineRule="exact"/>
        <w:ind w:firstLine="883" w:firstLineChars="200"/>
        <w:jc w:val="center"/>
        <w:rPr>
          <w:rFonts w:ascii="黑体" w:hAnsi="黑体" w:eastAsia="黑体"/>
          <w:b/>
          <w:sz w:val="44"/>
          <w:szCs w:val="36"/>
        </w:rPr>
      </w:pPr>
      <w:bookmarkStart w:id="0" w:name="_Toc38007899"/>
      <w:r>
        <w:rPr>
          <w:rFonts w:hint="eastAsia" w:ascii="黑体" w:hAnsi="黑体" w:eastAsia="黑体"/>
          <w:b/>
          <w:sz w:val="44"/>
          <w:szCs w:val="36"/>
        </w:rPr>
        <w:t>项目</w:t>
      </w:r>
      <w:r>
        <w:rPr>
          <w:rFonts w:ascii="黑体" w:hAnsi="黑体" w:eastAsia="黑体"/>
          <w:b/>
          <w:sz w:val="44"/>
          <w:szCs w:val="36"/>
        </w:rPr>
        <w:t>说明及要求</w:t>
      </w:r>
      <w:bookmarkEnd w:id="0"/>
    </w:p>
    <w:p>
      <w:pPr>
        <w:tabs>
          <w:tab w:val="left" w:pos="1276"/>
          <w:tab w:val="left" w:pos="1560"/>
          <w:tab w:val="left" w:pos="1843"/>
          <w:tab w:val="left" w:pos="1985"/>
        </w:tabs>
        <w:spacing w:line="580" w:lineRule="exact"/>
        <w:ind w:firstLine="720" w:firstLineChars="200"/>
        <w:jc w:val="center"/>
        <w:rPr>
          <w:sz w:val="36"/>
          <w:szCs w:val="36"/>
        </w:rPr>
      </w:pPr>
    </w:p>
    <w:p>
      <w:pPr>
        <w:tabs>
          <w:tab w:val="left" w:pos="1276"/>
          <w:tab w:val="left" w:pos="1560"/>
          <w:tab w:val="left" w:pos="1843"/>
          <w:tab w:val="left" w:pos="1985"/>
        </w:tabs>
        <w:spacing w:line="580" w:lineRule="exact"/>
        <w:rPr>
          <w:b/>
          <w:sz w:val="32"/>
          <w:szCs w:val="36"/>
        </w:rPr>
      </w:pPr>
      <w:r>
        <w:rPr>
          <w:rFonts w:hint="eastAsia"/>
          <w:b/>
          <w:sz w:val="32"/>
          <w:szCs w:val="36"/>
        </w:rPr>
        <w:t>一、教育教学信息化交流展示活动</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（3）评选标准</w:t>
      </w:r>
      <w:r>
        <w:rPr>
          <w:rFonts w:ascii="仿宋_GB2312" w:eastAsia="仿宋_GB2312"/>
          <w:sz w:val="28"/>
          <w:szCs w:val="28"/>
        </w:rPr>
        <w:t>：</w:t>
      </w:r>
    </w:p>
    <w:tbl>
      <w:tblPr>
        <w:tblStyle w:val="8"/>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6456"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6456"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6456"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内容丰富、科学，表述准确，术语规范；</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选材适当，表现方式合理；</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6456"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导航方便合理，路径可选；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6456"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能够运用于实际教学中，有推广价值。</w:t>
            </w:r>
          </w:p>
        </w:tc>
      </w:tr>
    </w:tbl>
    <w:p>
      <w:pPr>
        <w:spacing w:line="440" w:lineRule="exact"/>
        <w:rPr>
          <w:rFonts w:ascii="仿宋_GB2312" w:eastAsia="仿宋_GB2312"/>
          <w:sz w:val="28"/>
          <w:szCs w:val="28"/>
        </w:rPr>
      </w:pPr>
    </w:p>
    <w:p>
      <w:pPr>
        <w:spacing w:line="460" w:lineRule="exact"/>
        <w:ind w:firstLine="562" w:firstLineChars="200"/>
        <w:rPr>
          <w:rFonts w:ascii="仿宋_GB2312" w:eastAsia="仿宋_GB2312"/>
          <w:sz w:val="28"/>
          <w:szCs w:val="28"/>
        </w:rPr>
      </w:pPr>
      <w:bookmarkStart w:id="1"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bCs/>
          <w:sz w:val="28"/>
          <w:szCs w:val="28"/>
        </w:rPr>
        <w:t>中等职业教育组</w:t>
      </w:r>
      <w:r>
        <w:rPr>
          <w:rFonts w:hint="eastAsia" w:ascii="仿宋_GB2312" w:eastAsia="仿宋_GB2312"/>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numPr>
          <w:ilvl w:val="0"/>
          <w:numId w:val="1"/>
        </w:numPr>
        <w:spacing w:line="460" w:lineRule="exact"/>
        <w:ind w:firstLine="560" w:firstLineChars="200"/>
        <w:rPr>
          <w:rFonts w:ascii="仿宋_GB2312" w:eastAsia="仿宋_GB2312"/>
          <w:sz w:val="28"/>
          <w:szCs w:val="28"/>
        </w:rPr>
      </w:pPr>
      <w:r>
        <w:rPr>
          <w:rFonts w:hint="eastAsia" w:ascii="仿宋_GB2312" w:eastAsia="仿宋_GB2312"/>
          <w:sz w:val="28"/>
          <w:szCs w:val="28"/>
        </w:rPr>
        <w:t>报送形式：作品以zip压缩包格式（含附件1）报送，总大小建议不超过700MB。</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（3）评选标准</w:t>
      </w:r>
      <w:r>
        <w:rPr>
          <w:rFonts w:ascii="仿宋_GB2312" w:eastAsia="仿宋_GB2312"/>
          <w:sz w:val="28"/>
          <w:szCs w:val="28"/>
        </w:rPr>
        <w:t>：</w:t>
      </w:r>
    </w:p>
    <w:tbl>
      <w:tblPr>
        <w:tblStyle w:val="8"/>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评选指标</w:t>
            </w:r>
          </w:p>
        </w:tc>
        <w:tc>
          <w:tcPr>
            <w:tcW w:w="6781" w:type="dxa"/>
            <w:vAlign w:val="center"/>
          </w:tcPr>
          <w:p>
            <w:pPr>
              <w:adjustRightInd w:val="0"/>
              <w:snapToGrid w:val="0"/>
              <w:spacing w:line="5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6781"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6781"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6781"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6781"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60" w:lineRule="exact"/>
        <w:rPr>
          <w:rFonts w:ascii="仿宋_GB2312" w:eastAsia="仿宋_GB2312"/>
          <w:sz w:val="28"/>
          <w:szCs w:val="28"/>
        </w:rPr>
      </w:pPr>
    </w:p>
    <w:bookmarkEnd w:id="1"/>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（3）评选标准</w:t>
      </w:r>
      <w:r>
        <w:rPr>
          <w:rFonts w:ascii="仿宋_GB2312" w:eastAsia="仿宋_GB2312"/>
          <w:sz w:val="28"/>
          <w:szCs w:val="28"/>
        </w:rPr>
        <w:t>：</w:t>
      </w:r>
    </w:p>
    <w:tbl>
      <w:tblPr>
        <w:tblStyle w:val="8"/>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w:t>
            </w:r>
            <w:r>
              <w:rPr>
                <w:rFonts w:hint="eastAsia" w:ascii="仿宋_GB2312" w:eastAsia="仿宋_GB2312"/>
                <w:b/>
                <w:sz w:val="28"/>
                <w:szCs w:val="28"/>
              </w:rPr>
              <w:t>指标</w:t>
            </w:r>
          </w:p>
        </w:tc>
        <w:tc>
          <w:tcPr>
            <w:tcW w:w="6618"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1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6618"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体现“以学习者为中心”的课程改革理念；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hAnsi="宋体" w:eastAsia="仿宋_GB2312"/>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6618"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6618"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6618"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460" w:lineRule="exact"/>
        <w:rPr>
          <w:rFonts w:ascii="仿宋_GB2312" w:eastAsia="仿宋_GB2312"/>
          <w:sz w:val="28"/>
          <w:szCs w:val="28"/>
        </w:rPr>
      </w:pP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4.教师网络空间应用案例：</w:t>
      </w:r>
      <w:r>
        <w:rPr>
          <w:rFonts w:ascii="仿宋_GB2312" w:eastAsia="仿宋_GB2312"/>
          <w:sz w:val="28"/>
          <w:szCs w:val="28"/>
        </w:rPr>
        <w:t>是指</w:t>
      </w:r>
      <w:r>
        <w:rPr>
          <w:rFonts w:hint="eastAsia" w:ascii="仿宋_GB2312" w:eastAsia="仿宋_GB2312"/>
          <w:sz w:val="28"/>
          <w:szCs w:val="28"/>
        </w:rPr>
        <w:t>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w:t>
      </w:r>
      <w:bookmarkStart w:id="2" w:name="_GoBack"/>
      <w:bookmarkEnd w:id="2"/>
      <w:r>
        <w:rPr>
          <w:rFonts w:hint="eastAsia" w:ascii="仿宋_GB2312" w:eastAsia="仿宋_GB2312"/>
          <w:sz w:val="28"/>
          <w:szCs w:val="28"/>
        </w:rPr>
        <w:t>开展备课、教学活动组织、作业指导、辅导答疑、学情分析、网络研修等教育教学活动效果突出的案例。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以学校、教研组、学科组等名义集体开展应用的案例，不在作品报送范围之内。</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（1）要求：提交通过文字、图片、音频、视频等各类素材制作的</w:t>
      </w:r>
      <w:r>
        <w:rPr>
          <w:rFonts w:ascii="仿宋_GB2312" w:eastAsia="仿宋_GB2312"/>
          <w:sz w:val="28"/>
          <w:szCs w:val="28"/>
        </w:rPr>
        <w:t>PPT</w:t>
      </w:r>
      <w:r>
        <w:rPr>
          <w:rFonts w:hint="eastAsia" w:ascii="仿宋_GB2312" w:eastAsia="仿宋_GB2312"/>
          <w:sz w:val="28"/>
          <w:szCs w:val="28"/>
        </w:rPr>
        <w:t>文档、教学活动录像和其他材料，综合反映教师网络空间的日常应用情况和应用效果，同时提交空间访问说明文档（含空间网址等）。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（3）评选标准：</w:t>
      </w:r>
    </w:p>
    <w:tbl>
      <w:tblPr>
        <w:tblStyle w:val="8"/>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w:t>
            </w:r>
            <w:r>
              <w:rPr>
                <w:rFonts w:hint="eastAsia" w:ascii="仿宋_GB2312" w:eastAsia="仿宋_GB2312"/>
                <w:b/>
                <w:sz w:val="28"/>
                <w:szCs w:val="28"/>
              </w:rPr>
              <w:t>指标</w:t>
            </w:r>
          </w:p>
        </w:tc>
        <w:tc>
          <w:tcPr>
            <w:tcW w:w="6527"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内容建设</w:t>
            </w:r>
          </w:p>
        </w:tc>
        <w:tc>
          <w:tcPr>
            <w:tcW w:w="6527" w:type="dxa"/>
          </w:tcPr>
          <w:p>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hint="eastAsia" w:ascii="仿宋_GB2312" w:eastAsia="仿宋_GB2312"/>
                <w:sz w:val="28"/>
                <w:szCs w:val="28"/>
              </w:rPr>
              <w:t>，主题鲜明，特色突出；</w:t>
            </w:r>
          </w:p>
          <w:p>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更新及时</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6527" w:type="dxa"/>
          </w:tcPr>
          <w:p>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hint="eastAsia" w:ascii="仿宋_GB2312" w:eastAsia="仿宋_GB2312"/>
                <w:sz w:val="28"/>
                <w:szCs w:val="28"/>
              </w:rPr>
              <w:t>、</w:t>
            </w:r>
            <w:r>
              <w:rPr>
                <w:rFonts w:ascii="仿宋_GB2312" w:eastAsia="仿宋_GB2312"/>
                <w:sz w:val="28"/>
                <w:szCs w:val="28"/>
              </w:rPr>
              <w:t>教研</w:t>
            </w:r>
            <w:r>
              <w:rPr>
                <w:rFonts w:hint="eastAsia" w:ascii="仿宋_GB2312" w:eastAsia="仿宋_GB2312"/>
                <w:sz w:val="28"/>
                <w:szCs w:val="28"/>
              </w:rPr>
              <w:t>、教学等</w:t>
            </w:r>
            <w:r>
              <w:rPr>
                <w:rFonts w:ascii="仿宋_GB2312" w:eastAsia="仿宋_GB2312"/>
                <w:sz w:val="28"/>
                <w:szCs w:val="28"/>
              </w:rPr>
              <w:t>活动记录完整</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6527"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特色</w:t>
            </w:r>
            <w:r>
              <w:rPr>
                <w:rFonts w:ascii="仿宋_GB2312" w:eastAsia="仿宋_GB2312"/>
                <w:sz w:val="28"/>
                <w:szCs w:val="28"/>
              </w:rPr>
              <w:t>创新</w:t>
            </w:r>
          </w:p>
        </w:tc>
        <w:tc>
          <w:tcPr>
            <w:tcW w:w="6527" w:type="dxa"/>
            <w:vAlign w:val="center"/>
          </w:tcPr>
          <w:p>
            <w:pPr>
              <w:adjustRightInd w:val="0"/>
              <w:snapToGrid w:val="0"/>
              <w:spacing w:line="400" w:lineRule="exact"/>
              <w:rPr>
                <w:rFonts w:ascii="仿宋_GB2312" w:hAnsi="宋体" w:eastAsia="仿宋_GB2312"/>
                <w:sz w:val="28"/>
              </w:rPr>
            </w:pPr>
            <w:r>
              <w:rPr>
                <w:rFonts w:hint="eastAsia" w:ascii="仿宋_GB2312" w:hAnsi="Courier New" w:eastAsia="仿宋_GB2312" w:cs="Courier New"/>
                <w:sz w:val="28"/>
                <w:szCs w:val="28"/>
              </w:rPr>
              <w:t>在网络教研、</w:t>
            </w:r>
            <w:r>
              <w:rPr>
                <w:rFonts w:hint="eastAsia" w:ascii="仿宋_GB2312" w:eastAsia="仿宋_GB2312"/>
                <w:sz w:val="28"/>
                <w:szCs w:val="28"/>
              </w:rPr>
              <w:t>网络教学、资源共享、教育管理、综合素质评价等某个或多个方面，形成了应用模式，有效促进教学方式和学习方式变革。</w:t>
            </w:r>
          </w:p>
        </w:tc>
      </w:tr>
    </w:tbl>
    <w:p>
      <w:pPr>
        <w:spacing w:line="460" w:lineRule="exact"/>
        <w:rPr>
          <w:rFonts w:ascii="仿宋_GB2312" w:eastAsia="仿宋_GB2312"/>
          <w:sz w:val="28"/>
          <w:szCs w:val="28"/>
        </w:rPr>
      </w:pP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5.</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numPr>
          <w:ilvl w:val="0"/>
          <w:numId w:val="2"/>
        </w:num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（3）评选标准：</w:t>
      </w:r>
    </w:p>
    <w:tbl>
      <w:tblPr>
        <w:tblStyle w:val="8"/>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w:t>
            </w:r>
            <w:r>
              <w:rPr>
                <w:rFonts w:hint="eastAsia" w:ascii="仿宋_GB2312" w:eastAsia="仿宋_GB2312"/>
                <w:b/>
                <w:sz w:val="28"/>
                <w:szCs w:val="28"/>
              </w:rPr>
              <w:t>指标</w:t>
            </w:r>
          </w:p>
        </w:tc>
        <w:tc>
          <w:tcPr>
            <w:tcW w:w="6630"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663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663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663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663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460" w:lineRule="exact"/>
        <w:rPr>
          <w:rFonts w:ascii="仿宋_GB2312" w:hAnsi="Courier New" w:eastAsia="仿宋_GB2312" w:cs="Courier New"/>
          <w:sz w:val="28"/>
          <w:szCs w:val="28"/>
        </w:rPr>
      </w:pP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6.职业岗位能力精品课：</w:t>
      </w:r>
      <w:r>
        <w:rPr>
          <w:rFonts w:hint="eastAsia" w:ascii="仿宋_GB2312" w:eastAsia="仿宋_GB2312"/>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（1）要求：须提交</w:t>
      </w:r>
      <w:r>
        <w:rPr>
          <w:rFonts w:hint="eastAsia" w:ascii="仿宋_GB2312" w:eastAsia="仿宋_GB2312"/>
          <w:sz w:val="28"/>
          <w:szCs w:val="28"/>
        </w:rPr>
        <w:t>视频课和资源包，微教材可根据情况自主选择是否建设与提交。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视频课：是指与互动软件智能链接，符合职业教育特色、满足职业院校学生学习习惯的视频课。在构建方式上，可基于学习情景进行教学设计，把工匠、大师引入课堂，倡导多种角色授课模式，实现深度校企合作。每个视频课时长为5-25分钟，并提供视频课缩略图（图片比例为16:9，最小尺寸220</w:t>
      </w:r>
      <w:r>
        <w:rPr>
          <w:rFonts w:ascii="仿宋_GB2312" w:eastAsia="仿宋_GB2312"/>
          <w:sz w:val="28"/>
          <w:szCs w:val="28"/>
        </w:rPr>
        <w:t>×</w:t>
      </w:r>
      <w:r>
        <w:rPr>
          <w:rFonts w:hint="eastAsia" w:ascii="仿宋_GB2312" w:eastAsia="仿宋_GB2312"/>
          <w:sz w:val="28"/>
          <w:szCs w:val="28"/>
        </w:rPr>
        <w:t>124，格式为</w:t>
      </w:r>
      <w:r>
        <w:rPr>
          <w:rFonts w:ascii="仿宋_GB2312" w:eastAsia="仿宋_GB2312"/>
          <w:sz w:val="28"/>
          <w:szCs w:val="28"/>
        </w:rPr>
        <w:t>.jpg</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资源包：是指可支持该视频课的颗粒化资源总和。资源包内容与微教材、视频课有机融合，适应线上或线上线下混合式教学应用。内容包括教学设计说明、多媒体教学课件、在线试题、作业、答疑材料等。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微教材：是指与“教学点”相对应、融合信息技术，通过扫描纸质教材二维码链接相关资源，有效支持VR、AR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（2）报送形式：视频课以mp4格式上传，大小不超过800MB;资源包经命名后逐个上传，总大小不超过8</w:t>
      </w:r>
      <w:r>
        <w:rPr>
          <w:rFonts w:ascii="仿宋_GB2312" w:eastAsia="仿宋_GB2312"/>
          <w:sz w:val="28"/>
          <w:szCs w:val="28"/>
        </w:rPr>
        <w:t>00MB</w:t>
      </w:r>
      <w:r>
        <w:rPr>
          <w:rFonts w:hint="eastAsia" w:ascii="仿宋_GB2312" w:eastAsia="仿宋_GB2312"/>
          <w:sz w:val="28"/>
          <w:szCs w:val="28"/>
        </w:rPr>
        <w:t>;微教材以word格式上传。</w:t>
      </w:r>
    </w:p>
    <w:p>
      <w:pPr>
        <w:spacing w:line="460" w:lineRule="exact"/>
        <w:ind w:firstLine="560" w:firstLineChars="200"/>
        <w:rPr>
          <w:rFonts w:ascii="仿宋_GB2312" w:eastAsia="仿宋_GB2312"/>
          <w:sz w:val="28"/>
          <w:szCs w:val="28"/>
        </w:rPr>
      </w:pPr>
      <w:r>
        <w:rPr>
          <w:rFonts w:hint="eastAsia" w:ascii="仿宋_GB2312" w:hAnsi="Courier New" w:cs="Courier New"/>
          <w:sz w:val="28"/>
          <w:szCs w:val="28"/>
        </w:rPr>
        <w:t>（3）</w:t>
      </w:r>
      <w:r>
        <w:rPr>
          <w:rFonts w:hint="eastAsia" w:ascii="仿宋_GB2312" w:eastAsia="仿宋_GB2312"/>
          <w:sz w:val="28"/>
          <w:szCs w:val="28"/>
        </w:rPr>
        <w:t>评选标准：</w:t>
      </w:r>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w:t>
            </w:r>
            <w:r>
              <w:rPr>
                <w:rFonts w:hint="eastAsia" w:ascii="仿宋_GB2312" w:eastAsia="仿宋_GB2312"/>
                <w:b/>
                <w:sz w:val="28"/>
                <w:szCs w:val="28"/>
              </w:rPr>
              <w:t>指标</w:t>
            </w:r>
          </w:p>
        </w:tc>
        <w:tc>
          <w:tcPr>
            <w:tcW w:w="6572" w:type="dxa"/>
            <w:vAlign w:val="center"/>
          </w:tcPr>
          <w:p>
            <w:pPr>
              <w:adjustRightInd w:val="0"/>
              <w:snapToGrid w:val="0"/>
              <w:spacing w:line="400" w:lineRule="exact"/>
              <w:jc w:val="center"/>
              <w:rPr>
                <w:rFonts w:ascii="仿宋_GB2312" w:eastAsia="仿宋_GB2312"/>
                <w:b/>
                <w:sz w:val="28"/>
                <w:szCs w:val="28"/>
              </w:rPr>
            </w:pPr>
            <w:r>
              <w:rPr>
                <w:rFonts w:hint="eastAsia" w:ascii="仿宋_GB2312" w:hAnsi="宋体"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sz w:val="28"/>
                <w:szCs w:val="28"/>
              </w:rPr>
              <w:t>内容设计</w:t>
            </w:r>
          </w:p>
        </w:tc>
        <w:tc>
          <w:tcPr>
            <w:tcW w:w="6572" w:type="dxa"/>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内容相对稳定、完整、独立，满足教学和职业岗位核心能力发展需求；</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精准对位</w:t>
            </w:r>
            <w:r>
              <w:rPr>
                <w:rFonts w:hint="eastAsia" w:ascii="仿宋_GB2312" w:eastAsia="仿宋_GB2312"/>
                <w:sz w:val="28"/>
                <w:szCs w:val="28"/>
              </w:rPr>
              <w:t>职业岗位</w:t>
            </w:r>
            <w:r>
              <w:rPr>
                <w:rFonts w:hint="eastAsia" w:ascii="仿宋_GB2312" w:hAnsi="宋体" w:eastAsia="仿宋_GB2312"/>
                <w:sz w:val="28"/>
                <w:szCs w:val="28"/>
              </w:rPr>
              <w:t>能力和企业需求，视频课双师授课效果好；</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视频课、资源包及微教材内容完整、颗粒化程度高，应用方便；</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过程性和结课性测试题数量充足，满足平台运行条件；</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微教材满足线上教学、线上线下混合式教学需求；</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能为学生就业、竞争上岗、线上线下学习提供有效支持。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教学设计</w:t>
            </w:r>
          </w:p>
        </w:tc>
        <w:tc>
          <w:tcPr>
            <w:tcW w:w="6572" w:type="dxa"/>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注重教学设计，数字教学媒体运用准确，教学信息传递正确；</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视频课、资源包画面设计科学、合理，能够有效提升学习者的学习兴趣和学习效果；</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视频课及资源包助学、助教能力显著；</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微教材支持学生线上自学、线下学习应用。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呈现设计</w:t>
            </w:r>
          </w:p>
        </w:tc>
        <w:tc>
          <w:tcPr>
            <w:tcW w:w="6572" w:type="dxa"/>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遵循教学媒体呈现规律，注重教学媒体呈现设计；</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视频课、资源包等数字教学媒体呈现与教师讲解、教学内容配合默契，采用富媒体强度</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微教材可视化程度高，满足学习者需求；</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视频课双师授课呈现科学、真实、符合教学需求；</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过程性测试题的呈现适时，结课性试题的呈现完整、内容丰富。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应用与创新</w:t>
            </w:r>
          </w:p>
        </w:tc>
        <w:tc>
          <w:tcPr>
            <w:tcW w:w="6572" w:type="dxa"/>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校本同步应用效果好，有效支持教学改革，显著提高教学质量；</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开放共享程度高，具有一定的示范性；</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信息技术运用得当，教学方法与教学策略创新，效果显著；</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视频课引入企业活动信息实时、准确，教学模式创新效果显著；</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微教材设计科学、规范，内容完整。</w:t>
            </w:r>
          </w:p>
        </w:tc>
      </w:tr>
    </w:tbl>
    <w:p>
      <w:pPr>
        <w:rPr>
          <w:rFonts w:ascii="仿宋_GB2312" w:hAnsi="Times New Roman" w:eastAsia="仿宋_GB2312" w:cs="Times New Roman"/>
          <w:b/>
          <w:kern w:val="44"/>
          <w:sz w:val="28"/>
          <w:szCs w:val="28"/>
        </w:rPr>
      </w:pPr>
    </w:p>
    <w:p>
      <w:pPr>
        <w:rPr>
          <w:rFonts w:ascii="仿宋_GB2312" w:hAnsi="Times New Roman" w:eastAsia="仿宋_GB2312" w:cs="Times New Roman"/>
          <w:b/>
          <w:kern w:val="44"/>
          <w:sz w:val="32"/>
          <w:szCs w:val="32"/>
        </w:rPr>
      </w:pPr>
      <w:r>
        <w:rPr>
          <w:rFonts w:hint="eastAsia" w:ascii="仿宋_GB2312" w:hAnsi="Times New Roman" w:eastAsia="仿宋_GB2312" w:cs="Times New Roman"/>
          <w:b/>
          <w:kern w:val="44"/>
          <w:sz w:val="32"/>
          <w:szCs w:val="32"/>
        </w:rPr>
        <w:t>二、论文活动</w:t>
      </w:r>
    </w:p>
    <w:p>
      <w:pPr>
        <w:spacing w:line="520" w:lineRule="exact"/>
        <w:ind w:firstLine="562" w:firstLineChars="200"/>
        <w:rPr>
          <w:rFonts w:ascii="仿宋" w:hAnsi="仿宋" w:eastAsia="仿宋"/>
          <w:b/>
          <w:color w:val="000000"/>
          <w:sz w:val="28"/>
          <w:szCs w:val="28"/>
        </w:rPr>
      </w:pPr>
      <w:r>
        <w:rPr>
          <w:rFonts w:hint="eastAsia" w:ascii="仿宋" w:hAnsi="仿宋" w:eastAsia="仿宋" w:cs="宋体"/>
          <w:b/>
          <w:color w:val="000000"/>
          <w:kern w:val="0"/>
          <w:sz w:val="28"/>
          <w:szCs w:val="28"/>
        </w:rPr>
        <w:t>1.</w:t>
      </w:r>
      <w:r>
        <w:rPr>
          <w:rFonts w:hint="eastAsia" w:ascii="仿宋" w:hAnsi="仿宋" w:eastAsia="仿宋"/>
          <w:b/>
          <w:color w:val="000000"/>
          <w:sz w:val="28"/>
          <w:szCs w:val="28"/>
        </w:rPr>
        <w:t>作品选题</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（1）专业引领</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教育技术前沿理论、重大问题和重要政策文件研究（如</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“互联网+”、大数据、云计算、新基建、人工智能、区域教育、智慧城市、“一带一路”、数字经济、乡村振兴、教育公平等）</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（2）融合创新</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信息技术与教育教学融合研究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STEM、STEAM、翻转课堂、创客、SPOC、MOOC、人工智能、电子书包、教育游戏等创新应用研究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（3）数字校园</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数字校园建设与应用研究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（4）人才培养</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利用信息技术开展人才培养模式研究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师生信息素养提升与实践研究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教师专业发展研究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培养学生核心素养实践研究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利用信息技术支撑学生评价改革研究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（5）资源建设</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教育（学前教育、中小学教育、职业教育、高等教育、继续教育和终身教育）资源建设、应用、共享与服务研究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（6）教育管理</w:t>
      </w:r>
    </w:p>
    <w:p>
      <w:pPr>
        <w:spacing w:line="520" w:lineRule="exact"/>
        <w:ind w:firstLine="536" w:firstLineChars="200"/>
        <w:rPr>
          <w:rFonts w:ascii="仿宋" w:hAnsi="仿宋" w:eastAsia="仿宋" w:cs="仿宋"/>
          <w:color w:val="000000"/>
          <w:sz w:val="28"/>
          <w:szCs w:val="28"/>
        </w:rPr>
      </w:pPr>
      <w:r>
        <w:rPr>
          <w:rFonts w:hint="eastAsia" w:ascii="仿宋" w:hAnsi="仿宋" w:eastAsia="仿宋" w:cs="仿宋"/>
          <w:color w:val="000000"/>
          <w:spacing w:val="-6"/>
          <w:sz w:val="28"/>
          <w:szCs w:val="28"/>
        </w:rPr>
        <w:t>利用信息技术推动教育管理数字化、网络化、智能化研究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信息化支撑教育治理体系和治理能力现代化研究</w:t>
      </w:r>
    </w:p>
    <w:p>
      <w:pPr>
        <w:spacing w:line="5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2.作品要求</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本届</w:t>
      </w:r>
      <w:r>
        <w:rPr>
          <w:rFonts w:hint="eastAsia" w:ascii="仿宋" w:hAnsi="仿宋" w:eastAsia="仿宋" w:cs="仿宋"/>
          <w:color w:val="000000"/>
          <w:kern w:val="0"/>
          <w:sz w:val="28"/>
          <w:szCs w:val="28"/>
        </w:rPr>
        <w:t>论文活动</w:t>
      </w:r>
      <w:r>
        <w:rPr>
          <w:rFonts w:hint="eastAsia" w:ascii="仿宋" w:hAnsi="仿宋" w:eastAsia="仿宋" w:cs="仿宋"/>
          <w:color w:val="000000"/>
          <w:sz w:val="28"/>
          <w:szCs w:val="28"/>
        </w:rPr>
        <w:t>参评作品分为论文(A类)、教学设计(B类)、教育叙事（C类）。所有作品必须观点明确，文字简练，图文表清晰，字数控制在3000-10000字（含图表）。</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评作品必须格式规范，教学论文包含标题、作者、摘要（200字以上）、关键词（3-5个）、正文、参考文献；教学设计必须包含教学目标、教学重难点、学生分析、教学内容分析、教学媒体与资源的选择与应用、教学实施过程、教学评价与反思；教育叙事必须是与现代教学媒体应用相关的内容，要具备明确的观点和内容，在叙事中体现学术精神和实践创新。参评作品中须注明作者署名、工作单位及邮编。</w:t>
      </w:r>
    </w:p>
    <w:p>
      <w:pPr>
        <w:spacing w:line="5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3.参赛作品资格审定</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（1）有明显政治原则错误和科学常识错误的作品，取消参评资格。</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（2）严禁抄袭行为。一经发现，直接取消该作品参评或获奖资格，并将有关情况通报批评。</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（3）所有作品必须从未在任何报刊媒体发表，并且未参加过任何往届论文活动。</w:t>
      </w:r>
    </w:p>
    <w:p>
      <w:pPr>
        <w:spacing w:line="5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（4）不符合作品形态界定相关要求的作品，直接取消参评资格。</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9E8BB"/>
    <w:multiLevelType w:val="singleLevel"/>
    <w:tmpl w:val="B9C9E8BB"/>
    <w:lvl w:ilvl="0" w:tentative="0">
      <w:start w:val="2"/>
      <w:numFmt w:val="decimal"/>
      <w:suff w:val="nothing"/>
      <w:lvlText w:val="（%1）"/>
      <w:lvlJc w:val="left"/>
    </w:lvl>
  </w:abstractNum>
  <w:abstractNum w:abstractNumId="1">
    <w:nsid w:val="22382827"/>
    <w:multiLevelType w:val="singleLevel"/>
    <w:tmpl w:val="2238282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D"/>
    <w:rsid w:val="00027E7F"/>
    <w:rsid w:val="00032A67"/>
    <w:rsid w:val="00037066"/>
    <w:rsid w:val="00053E36"/>
    <w:rsid w:val="000911D9"/>
    <w:rsid w:val="000A4692"/>
    <w:rsid w:val="000B078F"/>
    <w:rsid w:val="000B2171"/>
    <w:rsid w:val="000E47E7"/>
    <w:rsid w:val="00126910"/>
    <w:rsid w:val="00141247"/>
    <w:rsid w:val="001C22BA"/>
    <w:rsid w:val="001E28A2"/>
    <w:rsid w:val="001F7335"/>
    <w:rsid w:val="00281C5D"/>
    <w:rsid w:val="00346CBC"/>
    <w:rsid w:val="00364962"/>
    <w:rsid w:val="00383D02"/>
    <w:rsid w:val="003A441E"/>
    <w:rsid w:val="003C0FE9"/>
    <w:rsid w:val="004402EF"/>
    <w:rsid w:val="00441794"/>
    <w:rsid w:val="004E4BCB"/>
    <w:rsid w:val="004E6C9E"/>
    <w:rsid w:val="004F48F5"/>
    <w:rsid w:val="00540712"/>
    <w:rsid w:val="00557BDB"/>
    <w:rsid w:val="00595DDE"/>
    <w:rsid w:val="00597B6A"/>
    <w:rsid w:val="005A009F"/>
    <w:rsid w:val="005D6BDA"/>
    <w:rsid w:val="005F1542"/>
    <w:rsid w:val="005F5FB9"/>
    <w:rsid w:val="00612B29"/>
    <w:rsid w:val="00631440"/>
    <w:rsid w:val="00674473"/>
    <w:rsid w:val="006967F8"/>
    <w:rsid w:val="006A00F7"/>
    <w:rsid w:val="006B1E29"/>
    <w:rsid w:val="006C1A99"/>
    <w:rsid w:val="006D19C2"/>
    <w:rsid w:val="006E055D"/>
    <w:rsid w:val="006F3BBC"/>
    <w:rsid w:val="0070612B"/>
    <w:rsid w:val="0072137E"/>
    <w:rsid w:val="00736BC8"/>
    <w:rsid w:val="008134DE"/>
    <w:rsid w:val="00814E45"/>
    <w:rsid w:val="008A1147"/>
    <w:rsid w:val="00937E88"/>
    <w:rsid w:val="0098089B"/>
    <w:rsid w:val="00982B63"/>
    <w:rsid w:val="00997EC2"/>
    <w:rsid w:val="009B501B"/>
    <w:rsid w:val="009F1547"/>
    <w:rsid w:val="00A24026"/>
    <w:rsid w:val="00A52780"/>
    <w:rsid w:val="00A55BAF"/>
    <w:rsid w:val="00AA29BD"/>
    <w:rsid w:val="00AB0A65"/>
    <w:rsid w:val="00AD0763"/>
    <w:rsid w:val="00AE1A41"/>
    <w:rsid w:val="00B33140"/>
    <w:rsid w:val="00B363EE"/>
    <w:rsid w:val="00B52139"/>
    <w:rsid w:val="00BB33AE"/>
    <w:rsid w:val="00BE3E20"/>
    <w:rsid w:val="00C02F17"/>
    <w:rsid w:val="00C36F14"/>
    <w:rsid w:val="00C403CB"/>
    <w:rsid w:val="00C51DD1"/>
    <w:rsid w:val="00C667E4"/>
    <w:rsid w:val="00C92DC8"/>
    <w:rsid w:val="00CE41F3"/>
    <w:rsid w:val="00CF329C"/>
    <w:rsid w:val="00CF664C"/>
    <w:rsid w:val="00D261A4"/>
    <w:rsid w:val="00D50F1C"/>
    <w:rsid w:val="00DC0AF7"/>
    <w:rsid w:val="00E457BC"/>
    <w:rsid w:val="00E72C8B"/>
    <w:rsid w:val="00E80B7F"/>
    <w:rsid w:val="00F27AB4"/>
    <w:rsid w:val="00F76E8F"/>
    <w:rsid w:val="00FC786B"/>
    <w:rsid w:val="0BB97808"/>
    <w:rsid w:val="7AC0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Lines="100" w:afterLines="100"/>
      <w:outlineLvl w:val="0"/>
    </w:pPr>
    <w:rPr>
      <w:rFonts w:ascii="Times New Roman" w:hAnsi="Times New Roman" w:eastAsia="宋体" w:cs="Times New Roman"/>
      <w:b/>
      <w:kern w:val="44"/>
      <w:sz w:val="24"/>
      <w:szCs w:val="20"/>
    </w:rPr>
  </w:style>
  <w:style w:type="paragraph" w:styleId="3">
    <w:name w:val="heading 2"/>
    <w:basedOn w:val="1"/>
    <w:next w:val="1"/>
    <w:link w:val="15"/>
    <w:unhideWhenUsed/>
    <w:qFormat/>
    <w:uiPriority w:val="9"/>
    <w:pPr>
      <w:keepNext/>
      <w:keepLines/>
      <w:spacing w:before="260" w:after="260" w:line="416" w:lineRule="auto"/>
      <w:outlineLvl w:val="1"/>
    </w:pPr>
    <w:rPr>
      <w:rFonts w:ascii="Calibri Light" w:hAnsi="Calibri Light" w:eastAsia="宋体" w:cs="Times New Roman"/>
      <w:b/>
      <w:bCs/>
      <w:kern w:val="0"/>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4"/>
    <w:semiHidden/>
    <w:qFormat/>
    <w:uiPriority w:val="99"/>
  </w:style>
  <w:style w:type="character" w:customStyle="1" w:styleId="14">
    <w:name w:val="标题 1 Char"/>
    <w:basedOn w:val="9"/>
    <w:link w:val="2"/>
    <w:qFormat/>
    <w:uiPriority w:val="0"/>
    <w:rPr>
      <w:rFonts w:ascii="Times New Roman" w:hAnsi="Times New Roman" w:eastAsia="宋体" w:cs="Times New Roman"/>
      <w:b/>
      <w:kern w:val="44"/>
      <w:sz w:val="24"/>
      <w:szCs w:val="20"/>
    </w:rPr>
  </w:style>
  <w:style w:type="character" w:customStyle="1" w:styleId="15">
    <w:name w:val="标题 2 Char"/>
    <w:basedOn w:val="9"/>
    <w:link w:val="3"/>
    <w:qFormat/>
    <w:uiPriority w:val="9"/>
    <w:rPr>
      <w:rFonts w:ascii="Calibri Light" w:hAnsi="Calibri Light" w:eastAsia="宋体" w:cs="Times New Roman"/>
      <w:b/>
      <w:bCs/>
      <w:kern w:val="0"/>
      <w:sz w:val="32"/>
      <w:szCs w:val="32"/>
    </w:rPr>
  </w:style>
  <w:style w:type="character" w:customStyle="1" w:styleId="16">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1011</Words>
  <Characters>5763</Characters>
  <Lines>48</Lines>
  <Paragraphs>13</Paragraphs>
  <TotalTime>5</TotalTime>
  <ScaleCrop>false</ScaleCrop>
  <LinksUpToDate>false</LinksUpToDate>
  <CharactersWithSpaces>6761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2021-04-29T08:13:00Z</dcterms:created>
  <dc:creator>zxf</dc:creator>
  <cp:lastModifiedBy>CCcn</cp:lastModifiedBy>
  <dcterms:modified xsi:type="dcterms:W3CDTF">2021-05-07T07:20:10Z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